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C8" w:rsidRDefault="00307DC8" w:rsidP="00307DC8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sz w:val="28"/>
          <w:szCs w:val="28"/>
        </w:rPr>
        <w:t>comunicato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stampa</w:t>
      </w:r>
    </w:p>
    <w:p w:rsidR="00307DC8" w:rsidRDefault="00307DC8" w:rsidP="00307DC8">
      <w:pPr>
        <w:jc w:val="center"/>
        <w:rPr>
          <w:rFonts w:ascii="Calibri" w:hAnsi="Calibri" w:cs="Times New Roman"/>
          <w:sz w:val="22"/>
          <w:szCs w:val="22"/>
        </w:rPr>
      </w:pPr>
    </w:p>
    <w:p w:rsidR="00307DC8" w:rsidRDefault="00307DC8" w:rsidP="00307DC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 Napoli i russi del </w:t>
      </w:r>
      <w:r>
        <w:rPr>
          <w:rFonts w:ascii="Arial" w:hAnsi="Arial" w:cs="Arial"/>
          <w:b/>
          <w:bCs/>
          <w:sz w:val="30"/>
          <w:szCs w:val="30"/>
        </w:rPr>
        <w:t xml:space="preserve">Teatro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Alexandrinsky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di</w:t>
      </w:r>
      <w:r>
        <w:rPr>
          <w:rFonts w:ascii="Arial" w:hAnsi="Arial" w:cs="Arial"/>
          <w:b/>
          <w:bCs/>
          <w:sz w:val="30"/>
          <w:szCs w:val="30"/>
        </w:rPr>
        <w:t xml:space="preserve"> San Pietroburgo</w:t>
      </w:r>
    </w:p>
    <w:p w:rsidR="00307DC8" w:rsidRDefault="00307DC8" w:rsidP="00307DC8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in</w:t>
      </w:r>
      <w:proofErr w:type="gramEnd"/>
      <w:r>
        <w:rPr>
          <w:rFonts w:ascii="Arial" w:hAnsi="Arial" w:cs="Arial"/>
          <w:sz w:val="30"/>
          <w:szCs w:val="30"/>
        </w:rPr>
        <w:t xml:space="preserve"> esclusiva italiana il 17 e il 18 novembre 2015</w:t>
      </w:r>
    </w:p>
    <w:p w:rsidR="00307DC8" w:rsidRDefault="00307DC8" w:rsidP="00307DC8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con</w:t>
      </w:r>
      <w:proofErr w:type="gramEnd"/>
      <w:r>
        <w:rPr>
          <w:rFonts w:ascii="Arial" w:hAnsi="Arial" w:cs="Arial"/>
          <w:sz w:val="30"/>
          <w:szCs w:val="30"/>
        </w:rPr>
        <w:t xml:space="preserve"> lo spettacolo</w:t>
      </w:r>
      <w:r>
        <w:rPr>
          <w:rFonts w:ascii="Arial" w:hAnsi="Arial" w:cs="Arial"/>
          <w:b/>
          <w:bCs/>
          <w:sz w:val="30"/>
          <w:szCs w:val="30"/>
        </w:rPr>
        <w:t xml:space="preserve"> LITURGIA ZERO </w:t>
      </w:r>
      <w:r>
        <w:rPr>
          <w:rFonts w:ascii="Arial" w:hAnsi="Arial" w:cs="Arial"/>
          <w:sz w:val="30"/>
          <w:szCs w:val="30"/>
        </w:rPr>
        <w:t>firmato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dal 69enne regista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Valery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Fokin</w:t>
      </w:r>
      <w:proofErr w:type="spellEnd"/>
    </w:p>
    <w:p w:rsidR="00307DC8" w:rsidRDefault="00307DC8" w:rsidP="00307DC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Un appuntamento con la scena internazionale</w:t>
      </w:r>
    </w:p>
    <w:p w:rsidR="00307DC8" w:rsidRDefault="00307DC8" w:rsidP="00307DC8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proposto</w:t>
      </w:r>
      <w:proofErr w:type="gramEnd"/>
      <w:r>
        <w:rPr>
          <w:rFonts w:ascii="Arial" w:hAnsi="Arial" w:cs="Arial"/>
          <w:sz w:val="30"/>
          <w:szCs w:val="30"/>
        </w:rPr>
        <w:t xml:space="preserve"> dal </w:t>
      </w:r>
      <w:r>
        <w:rPr>
          <w:rFonts w:ascii="Arial" w:hAnsi="Arial" w:cs="Arial"/>
          <w:b/>
          <w:bCs/>
          <w:sz w:val="30"/>
          <w:szCs w:val="30"/>
        </w:rPr>
        <w:t>Teatro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Stabile di Napoli </w:t>
      </w:r>
      <w:r>
        <w:rPr>
          <w:rFonts w:ascii="Arial" w:hAnsi="Arial" w:cs="Arial"/>
          <w:sz w:val="30"/>
          <w:szCs w:val="30"/>
        </w:rPr>
        <w:t>al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Teatro di San Carlo </w:t>
      </w:r>
    </w:p>
    <w:p w:rsidR="00307DC8" w:rsidRDefault="00307DC8" w:rsidP="00307DC8">
      <w:pPr>
        <w:jc w:val="center"/>
        <w:rPr>
          <w:rFonts w:ascii="Arial" w:hAnsi="Arial" w:cs="Arial"/>
          <w:sz w:val="8"/>
          <w:szCs w:val="8"/>
        </w:rPr>
      </w:pPr>
    </w:p>
    <w:p w:rsidR="00307DC8" w:rsidRDefault="00307DC8" w:rsidP="00307DC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 partire dal romanzo </w:t>
      </w:r>
      <w:r>
        <w:rPr>
          <w:rFonts w:ascii="Arial" w:hAnsi="Arial" w:cs="Arial"/>
          <w:i/>
          <w:iCs/>
          <w:sz w:val="30"/>
          <w:szCs w:val="30"/>
        </w:rPr>
        <w:t>Il giocatore</w:t>
      </w:r>
      <w:r>
        <w:rPr>
          <w:rFonts w:ascii="Arial" w:hAnsi="Arial" w:cs="Arial"/>
          <w:sz w:val="30"/>
          <w:szCs w:val="30"/>
        </w:rPr>
        <w:t xml:space="preserve"> di Dostoevskij del 1866</w:t>
      </w:r>
    </w:p>
    <w:p w:rsidR="00307DC8" w:rsidRDefault="00307DC8" w:rsidP="00307DC8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un</w:t>
      </w:r>
      <w:proofErr w:type="gramEnd"/>
      <w:r>
        <w:rPr>
          <w:rFonts w:ascii="Arial" w:hAnsi="Arial" w:cs="Arial"/>
          <w:sz w:val="30"/>
          <w:szCs w:val="30"/>
        </w:rPr>
        <w:t xml:space="preserve"> lucido, potente affresco delle fragilità e delle ossessioni umane</w:t>
      </w:r>
    </w:p>
    <w:p w:rsidR="00307DC8" w:rsidRDefault="00307DC8" w:rsidP="00307DC8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per</w:t>
      </w:r>
      <w:proofErr w:type="gramEnd"/>
      <w:r>
        <w:rPr>
          <w:rFonts w:ascii="Arial" w:hAnsi="Arial" w:cs="Arial"/>
          <w:sz w:val="30"/>
          <w:szCs w:val="30"/>
        </w:rPr>
        <w:t xml:space="preserve"> un tema di drammatica attualità</w:t>
      </w:r>
    </w:p>
    <w:p w:rsidR="00307DC8" w:rsidRDefault="00307DC8" w:rsidP="00307DC8">
      <w:pPr>
        <w:rPr>
          <w:rFonts w:ascii="Calibri" w:hAnsi="Calibri" w:cs="Times New Roman"/>
          <w:sz w:val="22"/>
          <w:szCs w:val="22"/>
        </w:rPr>
      </w:pPr>
    </w:p>
    <w:p w:rsidR="00307DC8" w:rsidRDefault="00307DC8" w:rsidP="00307DC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228975" cy="2153849"/>
            <wp:effectExtent l="0" t="0" r="0" b="0"/>
            <wp:docPr id="1" name="Immagine 1" descr="cid:image001.jpg@01D1170F.876CD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1170F.876CD5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87" cy="215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C8" w:rsidRDefault="00307DC8" w:rsidP="00307DC8">
      <w:pPr>
        <w:jc w:val="center"/>
      </w:pPr>
    </w:p>
    <w:p w:rsidR="00307DC8" w:rsidRDefault="00307DC8" w:rsidP="00307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E’ tra gli appuntamenti di punta della stagione teatrale italiana quello proposto in esclusiva dal </w:t>
      </w:r>
      <w:r>
        <w:rPr>
          <w:rFonts w:ascii="Arial" w:hAnsi="Arial" w:cs="Arial"/>
          <w:b/>
          <w:bCs/>
        </w:rPr>
        <w:t>Teatro Stabile di Napoli</w:t>
      </w:r>
      <w:r>
        <w:rPr>
          <w:rFonts w:ascii="Arial" w:hAnsi="Arial" w:cs="Arial"/>
        </w:rPr>
        <w:t xml:space="preserve"> il 17 e 18 novembre presso il Teatro di San Carlo dello spettacolo </w:t>
      </w:r>
      <w:r>
        <w:rPr>
          <w:rFonts w:ascii="Arial" w:hAnsi="Arial" w:cs="Arial"/>
          <w:b/>
          <w:bCs/>
          <w:i/>
          <w:iCs/>
        </w:rPr>
        <w:t>Liturgia Zero</w:t>
      </w:r>
      <w:r>
        <w:rPr>
          <w:rFonts w:ascii="Arial" w:hAnsi="Arial" w:cs="Arial"/>
        </w:rPr>
        <w:t xml:space="preserve"> con la regia del maestro </w:t>
      </w:r>
      <w:proofErr w:type="spellStart"/>
      <w:r>
        <w:rPr>
          <w:rFonts w:ascii="Arial" w:hAnsi="Arial" w:cs="Arial"/>
          <w:b/>
          <w:bCs/>
        </w:rPr>
        <w:t>Valery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Fokin</w:t>
      </w:r>
      <w:proofErr w:type="spellEnd"/>
      <w:r>
        <w:rPr>
          <w:rFonts w:ascii="Arial" w:hAnsi="Arial" w:cs="Arial"/>
        </w:rPr>
        <w:t xml:space="preserve">. </w:t>
      </w:r>
    </w:p>
    <w:p w:rsidR="00307DC8" w:rsidRDefault="00307DC8" w:rsidP="00307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Tratto dal romanzo </w:t>
      </w:r>
      <w:r>
        <w:rPr>
          <w:rFonts w:ascii="Arial" w:hAnsi="Arial" w:cs="Arial"/>
          <w:i/>
          <w:iCs/>
        </w:rPr>
        <w:t xml:space="preserve">Il giocatore </w:t>
      </w:r>
      <w:r>
        <w:rPr>
          <w:rFonts w:ascii="Arial" w:hAnsi="Arial" w:cs="Arial"/>
        </w:rPr>
        <w:t>di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Dostoevskij su adattamento teatrale dello stesso </w:t>
      </w:r>
      <w:proofErr w:type="spellStart"/>
      <w:r>
        <w:rPr>
          <w:rFonts w:ascii="Arial" w:hAnsi="Arial" w:cs="Arial"/>
        </w:rPr>
        <w:t>Fokin</w:t>
      </w:r>
      <w:proofErr w:type="spellEnd"/>
      <w:r>
        <w:rPr>
          <w:rFonts w:ascii="Arial" w:hAnsi="Arial" w:cs="Arial"/>
        </w:rPr>
        <w:t xml:space="preserve"> e di Alexander </w:t>
      </w:r>
      <w:proofErr w:type="spellStart"/>
      <w:r>
        <w:rPr>
          <w:rFonts w:ascii="Arial" w:hAnsi="Arial" w:cs="Arial"/>
        </w:rPr>
        <w:t>Zavyalov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Liturgia Zero</w:t>
      </w:r>
      <w:r>
        <w:rPr>
          <w:rFonts w:ascii="Arial" w:hAnsi="Arial" w:cs="Arial"/>
        </w:rPr>
        <w:t xml:space="preserve"> è interpretato da un cast di 19 attori, accompagnati in scena da 6 musicisti per le musiche originali di Alexander </w:t>
      </w:r>
      <w:proofErr w:type="spellStart"/>
      <w:r>
        <w:rPr>
          <w:rFonts w:ascii="Arial" w:hAnsi="Arial" w:cs="Arial"/>
        </w:rPr>
        <w:t>Bakshi</w:t>
      </w:r>
      <w:proofErr w:type="spellEnd"/>
      <w:r>
        <w:rPr>
          <w:rFonts w:ascii="Arial" w:hAnsi="Arial" w:cs="Arial"/>
        </w:rPr>
        <w:t xml:space="preserve"> e la direzione di Ivan </w:t>
      </w:r>
      <w:proofErr w:type="spellStart"/>
      <w:r>
        <w:rPr>
          <w:rFonts w:ascii="Arial" w:hAnsi="Arial" w:cs="Arial"/>
        </w:rPr>
        <w:t>Blagoder</w:t>
      </w:r>
      <w:proofErr w:type="spellEnd"/>
      <w:r>
        <w:rPr>
          <w:rFonts w:ascii="Arial" w:hAnsi="Arial" w:cs="Arial"/>
        </w:rPr>
        <w:t>.</w:t>
      </w:r>
    </w:p>
    <w:p w:rsidR="00307DC8" w:rsidRDefault="00307DC8" w:rsidP="00307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Pubblicato nel 1866 il romanzo è tra i più autobiografici del grande scrittore russo, narra la vicenda di </w:t>
      </w:r>
      <w:proofErr w:type="spellStart"/>
      <w:r>
        <w:rPr>
          <w:rStyle w:val="tcorpotesto1"/>
          <w:rFonts w:ascii="Arial" w:hAnsi="Arial" w:cs="Arial"/>
          <w:i/>
          <w:iCs/>
        </w:rPr>
        <w:t>Aleksej</w:t>
      </w:r>
      <w:proofErr w:type="spellEnd"/>
      <w:r>
        <w:rPr>
          <w:rStyle w:val="tcorpotesto1"/>
          <w:rFonts w:ascii="Arial" w:hAnsi="Arial" w:cs="Arial"/>
          <w:i/>
          <w:iCs/>
        </w:rPr>
        <w:t xml:space="preserve"> </w:t>
      </w:r>
      <w:proofErr w:type="spellStart"/>
      <w:r>
        <w:rPr>
          <w:rStyle w:val="tcorpotesto1"/>
          <w:rFonts w:ascii="Arial" w:hAnsi="Arial" w:cs="Arial"/>
          <w:i/>
          <w:iCs/>
        </w:rPr>
        <w:t>Ivanovic</w:t>
      </w:r>
      <w:proofErr w:type="spellEnd"/>
      <w:r>
        <w:rPr>
          <w:rStyle w:val="tcorpotesto1"/>
          <w:rFonts w:ascii="Arial" w:hAnsi="Arial" w:cs="Arial"/>
        </w:rPr>
        <w:t>, precettore presso la famiglia di un generale, e del suo sprofondare nella dipendenza dal</w:t>
      </w:r>
      <w:r>
        <w:rPr>
          <w:rFonts w:ascii="Arial" w:hAnsi="Arial" w:cs="Arial"/>
        </w:rPr>
        <w:t xml:space="preserve"> gioco d’azzardo, complice la figliastra del generale, </w:t>
      </w:r>
      <w:proofErr w:type="spellStart"/>
      <w:r>
        <w:rPr>
          <w:rFonts w:ascii="Arial" w:hAnsi="Arial" w:cs="Arial"/>
          <w:i/>
          <w:iCs/>
        </w:rPr>
        <w:t>Polina</w:t>
      </w:r>
      <w:proofErr w:type="spellEnd"/>
      <w:r>
        <w:rPr>
          <w:rFonts w:ascii="Arial" w:hAnsi="Arial" w:cs="Arial"/>
        </w:rPr>
        <w:t xml:space="preserve">, di cui </w:t>
      </w:r>
      <w:proofErr w:type="spellStart"/>
      <w:r>
        <w:rPr>
          <w:rFonts w:ascii="Arial" w:hAnsi="Arial" w:cs="Arial"/>
          <w:i/>
          <w:iCs/>
        </w:rPr>
        <w:t>Ivanovic</w:t>
      </w:r>
      <w:proofErr w:type="spellEnd"/>
      <w:r>
        <w:rPr>
          <w:rFonts w:ascii="Arial" w:hAnsi="Arial" w:cs="Arial"/>
        </w:rPr>
        <w:t xml:space="preserve"> è perdutamente innamorato senza essere ricambiato. Con loro, sull’immensa roulette/scena, si muove una galleria di figure e personaggi a disegnare un inquieto paesaggio esistenziale.</w:t>
      </w:r>
    </w:p>
    <w:p w:rsidR="00307DC8" w:rsidRDefault="00307DC8" w:rsidP="00307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Per questa messa in scena </w:t>
      </w:r>
      <w:proofErr w:type="spellStart"/>
      <w:r>
        <w:rPr>
          <w:rFonts w:ascii="Arial" w:hAnsi="Arial" w:cs="Arial"/>
        </w:rPr>
        <w:t>Fokin</w:t>
      </w:r>
      <w:proofErr w:type="spellEnd"/>
      <w:r>
        <w:rPr>
          <w:rFonts w:ascii="Arial" w:hAnsi="Arial" w:cs="Arial"/>
        </w:rPr>
        <w:t xml:space="preserve"> sottolinea l’interesse per il dato “autobiografico” dell’opera, tra le più taglienti ed efficaci di Dostoevskij, scritta in 28 giorni per far fronte a debiti di gioco. </w:t>
      </w:r>
    </w:p>
    <w:p w:rsidR="00307DC8" w:rsidRDefault="00307DC8" w:rsidP="00307DC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Liturgia Zero</w:t>
      </w:r>
      <w:r>
        <w:rPr>
          <w:rFonts w:ascii="Arial" w:hAnsi="Arial" w:cs="Arial"/>
        </w:rPr>
        <w:t xml:space="preserve">, che debuttò nel 2012 al Teatro </w:t>
      </w:r>
      <w:proofErr w:type="spellStart"/>
      <w:r>
        <w:rPr>
          <w:rFonts w:ascii="Arial" w:hAnsi="Arial" w:cs="Arial"/>
        </w:rPr>
        <w:t>Alexandrinsky</w:t>
      </w:r>
      <w:proofErr w:type="spellEnd"/>
      <w:r>
        <w:rPr>
          <w:rFonts w:ascii="Arial" w:hAnsi="Arial" w:cs="Arial"/>
        </w:rPr>
        <w:t xml:space="preserve"> di San Pietroburgo e poi rappresentato in diversi teatri e festival, è il nuovo incontro del 69enne regista russo – direttore dello storico teatro di San Pietroburgo – con l’opera di Dostoevskij, autore del quale nel corso della carriera ha messo in scena </w:t>
      </w:r>
      <w:r>
        <w:rPr>
          <w:rFonts w:ascii="Arial" w:hAnsi="Arial" w:cs="Arial"/>
          <w:i/>
          <w:iCs/>
        </w:rPr>
        <w:t>La moglie altrui e il marito sotto il letto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Memorie dal sottosuolo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  <w:iCs/>
        </w:rPr>
        <w:t>Bobok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Il sosia</w:t>
      </w:r>
      <w:r>
        <w:rPr>
          <w:rFonts w:ascii="Arial" w:hAnsi="Arial" w:cs="Arial"/>
        </w:rPr>
        <w:t xml:space="preserve">. </w:t>
      </w:r>
    </w:p>
    <w:p w:rsidR="00307DC8" w:rsidRDefault="00307DC8" w:rsidP="00307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Interpreti dello spettacolo gli attori Anton </w:t>
      </w:r>
      <w:proofErr w:type="spellStart"/>
      <w:r>
        <w:rPr>
          <w:rFonts w:ascii="Arial" w:hAnsi="Arial" w:cs="Arial"/>
        </w:rPr>
        <w:t>Shagin</w:t>
      </w:r>
      <w:proofErr w:type="spellEnd"/>
      <w:r>
        <w:rPr>
          <w:rFonts w:ascii="Arial" w:hAnsi="Arial" w:cs="Arial"/>
        </w:rPr>
        <w:t xml:space="preserve">, Alexander </w:t>
      </w:r>
      <w:proofErr w:type="spellStart"/>
      <w:r>
        <w:rPr>
          <w:rFonts w:ascii="Arial" w:hAnsi="Arial" w:cs="Arial"/>
        </w:rPr>
        <w:t>Polamishev</w:t>
      </w:r>
      <w:proofErr w:type="spellEnd"/>
      <w:r>
        <w:rPr>
          <w:rFonts w:ascii="Arial" w:hAnsi="Arial" w:cs="Arial"/>
        </w:rPr>
        <w:t xml:space="preserve">, Alexandra </w:t>
      </w:r>
      <w:proofErr w:type="spellStart"/>
      <w:r>
        <w:rPr>
          <w:rFonts w:ascii="Arial" w:hAnsi="Arial" w:cs="Arial"/>
        </w:rPr>
        <w:t>Bolshakova</w:t>
      </w:r>
      <w:proofErr w:type="spellEnd"/>
      <w:r>
        <w:rPr>
          <w:rFonts w:ascii="Arial" w:hAnsi="Arial" w:cs="Arial"/>
        </w:rPr>
        <w:t xml:space="preserve">, Igor Volkov, Alexander </w:t>
      </w:r>
      <w:proofErr w:type="spellStart"/>
      <w:r>
        <w:rPr>
          <w:rFonts w:ascii="Arial" w:hAnsi="Arial" w:cs="Arial"/>
        </w:rPr>
        <w:t>Lushin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Sergey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Parshin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Tikhon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Zhiznevsky</w:t>
      </w:r>
      <w:proofErr w:type="spellEnd"/>
      <w:r>
        <w:rPr>
          <w:rFonts w:ascii="Arial" w:hAnsi="Arial" w:cs="Arial"/>
        </w:rPr>
        <w:t xml:space="preserve">, Maria </w:t>
      </w:r>
      <w:proofErr w:type="spellStart"/>
      <w:r>
        <w:rPr>
          <w:rFonts w:ascii="Arial" w:hAnsi="Arial" w:cs="Arial"/>
        </w:rPr>
        <w:t>Lugovaya</w:t>
      </w:r>
      <w:proofErr w:type="spellEnd"/>
      <w:r>
        <w:rPr>
          <w:rFonts w:ascii="Arial" w:hAnsi="Arial" w:cs="Arial"/>
        </w:rPr>
        <w:t xml:space="preserve">, Era </w:t>
      </w:r>
      <w:proofErr w:type="spellStart"/>
      <w:r>
        <w:rPr>
          <w:rFonts w:ascii="Arial" w:hAnsi="Arial" w:cs="Arial"/>
        </w:rPr>
        <w:t>Ziganshina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Sergey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Yelikov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Vasilisa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Alexeyeva</w:t>
      </w:r>
      <w:proofErr w:type="spellEnd"/>
      <w:r>
        <w:rPr>
          <w:rFonts w:ascii="Arial" w:hAnsi="Arial" w:cs="Arial"/>
        </w:rPr>
        <w:t xml:space="preserve">, Maria </w:t>
      </w:r>
      <w:proofErr w:type="spellStart"/>
      <w:r>
        <w:rPr>
          <w:rFonts w:ascii="Arial" w:hAnsi="Arial" w:cs="Arial"/>
        </w:rPr>
        <w:t>Zimina</w:t>
      </w:r>
      <w:proofErr w:type="spellEnd"/>
      <w:r>
        <w:rPr>
          <w:rFonts w:ascii="Arial" w:hAnsi="Arial" w:cs="Arial"/>
        </w:rPr>
        <w:t xml:space="preserve">, Elena </w:t>
      </w:r>
      <w:proofErr w:type="spellStart"/>
      <w:r>
        <w:rPr>
          <w:rFonts w:ascii="Arial" w:hAnsi="Arial" w:cs="Arial"/>
        </w:rPr>
        <w:t>Vozhakina</w:t>
      </w:r>
      <w:proofErr w:type="spellEnd"/>
      <w:r>
        <w:rPr>
          <w:rFonts w:ascii="Arial" w:hAnsi="Arial" w:cs="Arial"/>
        </w:rPr>
        <w:t xml:space="preserve">, Ivan </w:t>
      </w:r>
      <w:proofErr w:type="spellStart"/>
      <w:r>
        <w:rPr>
          <w:rFonts w:ascii="Arial" w:hAnsi="Arial" w:cs="Arial"/>
        </w:rPr>
        <w:t>Yefremov</w:t>
      </w:r>
      <w:proofErr w:type="spellEnd"/>
      <w:r>
        <w:rPr>
          <w:rFonts w:ascii="Arial" w:hAnsi="Arial" w:cs="Arial"/>
        </w:rPr>
        <w:t xml:space="preserve">, Victor </w:t>
      </w:r>
      <w:proofErr w:type="spellStart"/>
      <w:r>
        <w:rPr>
          <w:rFonts w:ascii="Arial" w:hAnsi="Arial" w:cs="Arial"/>
        </w:rPr>
        <w:t>Shuralev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Ruslan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Meshchanov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Sergey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Sidorenko</w:t>
      </w:r>
      <w:proofErr w:type="spellEnd"/>
      <w:r>
        <w:rPr>
          <w:rFonts w:ascii="Arial" w:hAnsi="Arial" w:cs="Arial"/>
        </w:rPr>
        <w:t xml:space="preserve">, Igor </w:t>
      </w:r>
      <w:proofErr w:type="spellStart"/>
      <w:r>
        <w:rPr>
          <w:rFonts w:ascii="Arial" w:hAnsi="Arial" w:cs="Arial"/>
        </w:rPr>
        <w:t>Kroll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Kirill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Zamyshlayev</w:t>
      </w:r>
      <w:proofErr w:type="spellEnd"/>
      <w:r>
        <w:rPr>
          <w:rFonts w:ascii="Arial" w:hAnsi="Arial" w:cs="Arial"/>
        </w:rPr>
        <w:t xml:space="preserve">, con i musicisti Ivan </w:t>
      </w:r>
      <w:proofErr w:type="spellStart"/>
      <w:r>
        <w:rPr>
          <w:rFonts w:ascii="Arial" w:hAnsi="Arial" w:cs="Arial"/>
        </w:rPr>
        <w:t>Bezborodov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Dmitry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Zotin</w:t>
      </w:r>
      <w:proofErr w:type="spellEnd"/>
      <w:r>
        <w:rPr>
          <w:rFonts w:ascii="Arial" w:hAnsi="Arial" w:cs="Arial"/>
        </w:rPr>
        <w:t xml:space="preserve">, Konstantin Kolesnikov, Igor </w:t>
      </w:r>
      <w:proofErr w:type="spellStart"/>
      <w:r>
        <w:rPr>
          <w:rFonts w:ascii="Arial" w:hAnsi="Arial" w:cs="Arial"/>
        </w:rPr>
        <w:t>Mamay</w:t>
      </w:r>
      <w:proofErr w:type="spellEnd"/>
      <w:r>
        <w:rPr>
          <w:rFonts w:ascii="Arial" w:hAnsi="Arial" w:cs="Arial"/>
        </w:rPr>
        <w:t xml:space="preserve">, Andrey </w:t>
      </w:r>
      <w:proofErr w:type="spellStart"/>
      <w:r>
        <w:rPr>
          <w:rFonts w:ascii="Arial" w:hAnsi="Arial" w:cs="Arial"/>
        </w:rPr>
        <w:t>Ogorodnikov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Svyatoslav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Chereshnichenko</w:t>
      </w:r>
      <w:proofErr w:type="spellEnd"/>
      <w:r>
        <w:rPr>
          <w:rFonts w:ascii="Arial" w:hAnsi="Arial" w:cs="Arial"/>
        </w:rPr>
        <w:t xml:space="preserve">, Alexander </w:t>
      </w:r>
      <w:proofErr w:type="spellStart"/>
      <w:r>
        <w:rPr>
          <w:rFonts w:ascii="Arial" w:hAnsi="Arial" w:cs="Arial"/>
        </w:rPr>
        <w:t>Shcherbakov</w:t>
      </w:r>
      <w:proofErr w:type="spellEnd"/>
      <w:r>
        <w:rPr>
          <w:rFonts w:ascii="Arial" w:hAnsi="Arial" w:cs="Arial"/>
        </w:rPr>
        <w:t>.</w:t>
      </w:r>
    </w:p>
    <w:p w:rsidR="00307DC8" w:rsidRDefault="00307DC8" w:rsidP="00307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scene e i costumi sono di Alexander </w:t>
      </w:r>
      <w:proofErr w:type="spellStart"/>
      <w:r>
        <w:rPr>
          <w:rFonts w:ascii="Arial" w:hAnsi="Arial" w:cs="Arial"/>
        </w:rPr>
        <w:t>Borovsky</w:t>
      </w:r>
      <w:proofErr w:type="spellEnd"/>
      <w:r>
        <w:rPr>
          <w:rFonts w:ascii="Arial" w:hAnsi="Arial" w:cs="Arial"/>
        </w:rPr>
        <w:t xml:space="preserve">; il disegno luci di </w:t>
      </w:r>
      <w:proofErr w:type="spellStart"/>
      <w:r>
        <w:rPr>
          <w:rFonts w:ascii="Arial" w:hAnsi="Arial" w:cs="Arial"/>
        </w:rPr>
        <w:t>Damir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Ismagilov</w:t>
      </w:r>
      <w:proofErr w:type="spellEnd"/>
      <w:r>
        <w:rPr>
          <w:rFonts w:ascii="Arial" w:hAnsi="Arial" w:cs="Arial"/>
        </w:rPr>
        <w:t xml:space="preserve">; le coreografie di Igor </w:t>
      </w:r>
      <w:proofErr w:type="spellStart"/>
      <w:r>
        <w:rPr>
          <w:rFonts w:ascii="Arial" w:hAnsi="Arial" w:cs="Arial"/>
        </w:rPr>
        <w:t>Kachayev</w:t>
      </w:r>
      <w:proofErr w:type="spellEnd"/>
      <w:r>
        <w:rPr>
          <w:rFonts w:ascii="Arial" w:hAnsi="Arial" w:cs="Arial"/>
        </w:rPr>
        <w:t xml:space="preserve">. </w:t>
      </w:r>
    </w:p>
    <w:p w:rsidR="00307DC8" w:rsidRDefault="00307DC8" w:rsidP="00307DC8">
      <w:pPr>
        <w:jc w:val="both"/>
        <w:rPr>
          <w:rFonts w:ascii="Arial" w:hAnsi="Arial" w:cs="Arial"/>
          <w:sz w:val="8"/>
          <w:szCs w:val="8"/>
        </w:rPr>
      </w:pPr>
    </w:p>
    <w:p w:rsidR="00307DC8" w:rsidRDefault="00307DC8" w:rsidP="00307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Spettacolo in lingua russa con </w:t>
      </w:r>
      <w:proofErr w:type="spellStart"/>
      <w:r>
        <w:rPr>
          <w:rFonts w:ascii="Arial" w:hAnsi="Arial" w:cs="Arial"/>
        </w:rPr>
        <w:t>sovratitoli</w:t>
      </w:r>
      <w:proofErr w:type="spellEnd"/>
      <w:r>
        <w:rPr>
          <w:rFonts w:ascii="Arial" w:hAnsi="Arial" w:cs="Arial"/>
        </w:rPr>
        <w:t xml:space="preserve"> in italiano. La durata è di 1 ora e 40 minuti senza intervallo</w:t>
      </w:r>
    </w:p>
    <w:p w:rsidR="00307DC8" w:rsidRDefault="00307DC8" w:rsidP="00307DC8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In scena al Teatro San Carlo di Napoli</w:t>
      </w:r>
      <w:r>
        <w:rPr>
          <w:rStyle w:val="Enfasigrassetto"/>
          <w:b w:val="0"/>
          <w:bCs w:val="0"/>
          <w:color w:val="000000"/>
        </w:rPr>
        <w:t xml:space="preserve"> </w:t>
      </w:r>
      <w:r>
        <w:rPr>
          <w:rStyle w:val="Enfasigrassetto"/>
          <w:rFonts w:ascii="Arial" w:hAnsi="Arial" w:cs="Arial"/>
          <w:b w:val="0"/>
          <w:bCs w:val="0"/>
          <w:color w:val="000000"/>
        </w:rPr>
        <w:t>martedì 17 novembre alle 21.00 e mercoledì 18 novembre alle 18.00.</w:t>
      </w:r>
    </w:p>
    <w:p w:rsidR="00307DC8" w:rsidRDefault="00307DC8" w:rsidP="00307DC8">
      <w:pPr>
        <w:rPr>
          <w:rFonts w:ascii="Arial" w:hAnsi="Arial" w:cs="Arial"/>
          <w:sz w:val="8"/>
          <w:szCs w:val="8"/>
        </w:rPr>
      </w:pPr>
    </w:p>
    <w:p w:rsidR="00307DC8" w:rsidRDefault="00307DC8" w:rsidP="00307DC8">
      <w:pPr>
        <w:rPr>
          <w:rFonts w:ascii="Arial" w:hAnsi="Arial" w:cs="Arial"/>
        </w:rPr>
      </w:pPr>
      <w:r>
        <w:rPr>
          <w:rFonts w:ascii="Arial" w:hAnsi="Arial" w:cs="Arial"/>
        </w:rPr>
        <w:t>Info: tel. 081.5524214 – www.</w:t>
      </w: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teatrostabilenapoli.it</w:t>
      </w:r>
    </w:p>
    <w:p w:rsidR="00307DC8" w:rsidRDefault="00307DC8" w:rsidP="00307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Biglietteria: tel. 081.5513396 | </w:t>
      </w:r>
      <w:proofErr w:type="spellStart"/>
      <w:r>
        <w:rPr>
          <w:rFonts w:ascii="Arial" w:hAnsi="Arial" w:cs="Arial"/>
        </w:rPr>
        <w:t>e.mail</w:t>
      </w:r>
      <w:proofErr w:type="spellEnd"/>
      <w:r>
        <w:rPr>
          <w:rFonts w:ascii="Arial" w:hAnsi="Arial" w:cs="Arial"/>
        </w:rPr>
        <w:t>: biglietteria@</w:t>
      </w: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teatrostabilenapoli.it</w:t>
      </w:r>
    </w:p>
    <w:p w:rsidR="00307DC8" w:rsidRDefault="00307DC8" w:rsidP="00307DC8">
      <w:pPr>
        <w:jc w:val="center"/>
        <w:rPr>
          <w:rFonts w:ascii="Arial" w:hAnsi="Arial" w:cs="Arial"/>
          <w:sz w:val="28"/>
          <w:szCs w:val="28"/>
        </w:rPr>
      </w:pPr>
    </w:p>
    <w:p w:rsidR="005803C8" w:rsidRDefault="005803C8"/>
    <w:sectPr w:rsidR="005803C8" w:rsidSect="00252FF2">
      <w:headerReference w:type="default" r:id="rId9"/>
      <w:headerReference w:type="first" r:id="rId10"/>
      <w:footerReference w:type="first" r:id="rId11"/>
      <w:pgSz w:w="11900" w:h="16840"/>
      <w:pgMar w:top="311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1B" w:rsidRDefault="00C4661B" w:rsidP="00252FF2">
      <w:r>
        <w:separator/>
      </w:r>
    </w:p>
  </w:endnote>
  <w:endnote w:type="continuationSeparator" w:id="0">
    <w:p w:rsidR="00C4661B" w:rsidRDefault="00C4661B" w:rsidP="0025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F2" w:rsidRDefault="00252FF2">
    <w:pPr>
      <w:pStyle w:val="Pidipagina"/>
    </w:pPr>
    <w:r>
      <w:rPr>
        <w:noProof/>
        <w:lang w:eastAsia="it-IT"/>
      </w:rPr>
      <w:drawing>
        <wp:inline distT="0" distB="0" distL="0" distR="0" wp14:anchorId="0CD5BB12" wp14:editId="7E7665A5">
          <wp:extent cx="5755640" cy="800735"/>
          <wp:effectExtent l="0" t="0" r="10160" b="1206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n_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1B" w:rsidRDefault="00C4661B" w:rsidP="00252FF2">
      <w:r>
        <w:separator/>
      </w:r>
    </w:p>
  </w:footnote>
  <w:footnote w:type="continuationSeparator" w:id="0">
    <w:p w:rsidR="00C4661B" w:rsidRDefault="00C4661B" w:rsidP="0025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F2" w:rsidRDefault="00252FF2" w:rsidP="00252FF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C02FB3" wp14:editId="73F2E7F3">
          <wp:extent cx="720000" cy="72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F2" w:rsidRDefault="00252FF2" w:rsidP="00252FF2">
    <w:pPr>
      <w:pStyle w:val="Intestazione"/>
      <w:jc w:val="center"/>
    </w:pPr>
  </w:p>
  <w:p w:rsidR="00252FF2" w:rsidRDefault="00252FF2" w:rsidP="00252FF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F2" w:rsidRDefault="00252FF2" w:rsidP="00252FF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B95448" wp14:editId="08E32381">
          <wp:extent cx="892810" cy="8928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F2" w:rsidRDefault="00252FF2" w:rsidP="00252FF2">
    <w:pPr>
      <w:pStyle w:val="Intestazione"/>
      <w:jc w:val="center"/>
    </w:pPr>
  </w:p>
  <w:p w:rsidR="00252FF2" w:rsidRDefault="00252FF2" w:rsidP="00252FF2">
    <w:pPr>
      <w:pStyle w:val="Intestazione"/>
      <w:jc w:val="center"/>
    </w:pPr>
  </w:p>
  <w:p w:rsidR="00252FF2" w:rsidRDefault="00252F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2"/>
    <w:rsid w:val="000461F0"/>
    <w:rsid w:val="00056765"/>
    <w:rsid w:val="00065263"/>
    <w:rsid w:val="00082EE7"/>
    <w:rsid w:val="00117B83"/>
    <w:rsid w:val="001979E0"/>
    <w:rsid w:val="001D5D08"/>
    <w:rsid w:val="00252FF2"/>
    <w:rsid w:val="00280016"/>
    <w:rsid w:val="002C5D09"/>
    <w:rsid w:val="003076A4"/>
    <w:rsid w:val="00307DC8"/>
    <w:rsid w:val="0037763E"/>
    <w:rsid w:val="0041247B"/>
    <w:rsid w:val="00545A13"/>
    <w:rsid w:val="005803C8"/>
    <w:rsid w:val="00653154"/>
    <w:rsid w:val="007643C3"/>
    <w:rsid w:val="008204DC"/>
    <w:rsid w:val="008261EB"/>
    <w:rsid w:val="008623A6"/>
    <w:rsid w:val="008B0047"/>
    <w:rsid w:val="00987FEA"/>
    <w:rsid w:val="009F515C"/>
    <w:rsid w:val="00AD0FC3"/>
    <w:rsid w:val="00B058CB"/>
    <w:rsid w:val="00B71E77"/>
    <w:rsid w:val="00B7494F"/>
    <w:rsid w:val="00BC3506"/>
    <w:rsid w:val="00BD66B6"/>
    <w:rsid w:val="00C4661B"/>
    <w:rsid w:val="00C6399F"/>
    <w:rsid w:val="00C9529A"/>
    <w:rsid w:val="00DD7B03"/>
    <w:rsid w:val="00E03B34"/>
    <w:rsid w:val="00E95FD2"/>
    <w:rsid w:val="00F36498"/>
    <w:rsid w:val="00F4463E"/>
    <w:rsid w:val="00F45149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28D8594-2248-4213-81A1-4D975D63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2FF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FF2"/>
  </w:style>
  <w:style w:type="paragraph" w:styleId="Pidipagina">
    <w:name w:val="footer"/>
    <w:basedOn w:val="Normale"/>
    <w:link w:val="PidipaginaCarattere"/>
    <w:uiPriority w:val="99"/>
    <w:unhideWhenUsed/>
    <w:rsid w:val="00252FF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F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FF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17B83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03B34"/>
    <w:rPr>
      <w:color w:val="0000FF" w:themeColor="hyperlink"/>
      <w:u w:val="single"/>
    </w:rPr>
  </w:style>
  <w:style w:type="character" w:customStyle="1" w:styleId="tcorpotesto1">
    <w:name w:val="tcorpotesto1"/>
    <w:basedOn w:val="Carpredefinitoparagrafo"/>
    <w:rsid w:val="00307DC8"/>
    <w:rPr>
      <w:rFonts w:ascii="Verdana" w:hAnsi="Verdana" w:hint="default"/>
    </w:rPr>
  </w:style>
  <w:style w:type="character" w:styleId="Enfasigrassetto">
    <w:name w:val="Strong"/>
    <w:basedOn w:val="Carpredefinitoparagrafo"/>
    <w:uiPriority w:val="22"/>
    <w:qFormat/>
    <w:rsid w:val="0030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11AF8.BC8CA3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65092-2B5E-471F-9038-B81767B1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Valeria</cp:lastModifiedBy>
  <cp:revision>3</cp:revision>
  <cp:lastPrinted>2015-10-05T08:26:00Z</cp:lastPrinted>
  <dcterms:created xsi:type="dcterms:W3CDTF">2015-11-11T13:36:00Z</dcterms:created>
  <dcterms:modified xsi:type="dcterms:W3CDTF">2015-11-11T13:37:00Z</dcterms:modified>
</cp:coreProperties>
</file>