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5B98" w14:textId="77777777" w:rsidR="0044057B" w:rsidRDefault="0044057B" w:rsidP="00580449">
      <w:pPr>
        <w:rPr>
          <w:rFonts w:ascii="Century Gothic" w:hAnsi="Century Gothic" w:cs="Arial"/>
          <w:noProof/>
          <w:color w:val="000000"/>
          <w:sz w:val="24"/>
          <w:szCs w:val="24"/>
          <w:lang w:eastAsia="it-IT"/>
        </w:rPr>
      </w:pPr>
    </w:p>
    <w:p w14:paraId="634B35F4" w14:textId="00F7E290" w:rsidR="001C61C4" w:rsidRDefault="001C61C4" w:rsidP="005F7BC1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476B0A0" wp14:editId="3862D7E5">
            <wp:extent cx="658495" cy="1039728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3" cy="10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32"/>
          <w:szCs w:val="32"/>
        </w:rPr>
        <w:t xml:space="preserve">    </w:t>
      </w: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40BB4F6E" wp14:editId="6CE313BD">
            <wp:extent cx="1501940" cy="975360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76" cy="981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52453" w14:textId="77777777" w:rsidR="001C61C4" w:rsidRDefault="001C61C4" w:rsidP="005F7BC1">
      <w:pPr>
        <w:jc w:val="center"/>
        <w:rPr>
          <w:rFonts w:ascii="Century Gothic" w:hAnsi="Century Gothic"/>
          <w:noProof/>
          <w:sz w:val="32"/>
          <w:szCs w:val="32"/>
        </w:rPr>
      </w:pPr>
    </w:p>
    <w:p w14:paraId="60CF8931" w14:textId="77777777" w:rsidR="001C61C4" w:rsidRDefault="001C61C4" w:rsidP="001C61C4">
      <w:pPr>
        <w:rPr>
          <w:rFonts w:ascii="Century Gothic" w:hAnsi="Century Gothic"/>
          <w:noProof/>
          <w:sz w:val="32"/>
          <w:szCs w:val="32"/>
        </w:rPr>
      </w:pPr>
    </w:p>
    <w:p w14:paraId="6E97AE1B" w14:textId="613F9F4F" w:rsidR="00CB5A83" w:rsidRPr="005F7BC1" w:rsidRDefault="005F7BC1" w:rsidP="005F7BC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POMPEII THEATRUM MUNDI 2021</w:t>
      </w:r>
    </w:p>
    <w:p w14:paraId="4BFF447C" w14:textId="77777777" w:rsidR="00CB5A83" w:rsidRPr="00CB5A83" w:rsidRDefault="00CB5A83" w:rsidP="00CB5A83">
      <w:pPr>
        <w:jc w:val="center"/>
        <w:rPr>
          <w:rFonts w:ascii="Century Gothic" w:hAnsi="Century Gothic"/>
          <w:sz w:val="8"/>
          <w:szCs w:val="8"/>
        </w:rPr>
      </w:pPr>
    </w:p>
    <w:p w14:paraId="7B4C3E9E" w14:textId="77777777" w:rsidR="00AA1C7C" w:rsidRDefault="00AA1C7C" w:rsidP="00BB10B7">
      <w:pPr>
        <w:rPr>
          <w:rFonts w:ascii="Century Gothic" w:hAnsi="Century Gothic"/>
          <w:color w:val="000000"/>
          <w:sz w:val="28"/>
          <w:szCs w:val="28"/>
          <w:lang w:eastAsia="it-IT"/>
        </w:rPr>
      </w:pPr>
    </w:p>
    <w:p w14:paraId="43E42B66" w14:textId="49A93759" w:rsidR="00BB10B7" w:rsidRPr="00995F1F" w:rsidRDefault="00F04DEB" w:rsidP="00BB10B7">
      <w:pPr>
        <w:rPr>
          <w:rFonts w:ascii="Century Gothic" w:hAnsi="Century Gothic"/>
          <w:color w:val="000000"/>
          <w:sz w:val="24"/>
          <w:szCs w:val="24"/>
          <w:lang w:eastAsia="it-IT"/>
        </w:rPr>
      </w:pPr>
      <w:r w:rsidRPr="00995F1F">
        <w:rPr>
          <w:rFonts w:ascii="Century Gothic" w:hAnsi="Century Gothic"/>
          <w:color w:val="000000"/>
          <w:sz w:val="24"/>
          <w:szCs w:val="24"/>
          <w:lang w:eastAsia="it-IT"/>
        </w:rPr>
        <w:t>Teatro Grande di Pompei</w:t>
      </w:r>
      <w:r w:rsidR="00580449" w:rsidRPr="00995F1F">
        <w:rPr>
          <w:rFonts w:ascii="Century Gothic" w:hAnsi="Century Gothic"/>
          <w:color w:val="000000"/>
          <w:sz w:val="24"/>
          <w:szCs w:val="24"/>
          <w:lang w:eastAsia="it-IT"/>
        </w:rPr>
        <w:t xml:space="preserve"> | </w:t>
      </w:r>
      <w:r w:rsidR="002D0BD5" w:rsidRPr="00995F1F">
        <w:rPr>
          <w:rFonts w:ascii="Century Gothic" w:hAnsi="Century Gothic"/>
          <w:color w:val="000000"/>
          <w:sz w:val="24"/>
          <w:szCs w:val="24"/>
          <w:lang w:eastAsia="it-IT"/>
        </w:rPr>
        <w:t>23</w:t>
      </w:r>
      <w:r w:rsidR="00BB10B7" w:rsidRPr="00995F1F">
        <w:rPr>
          <w:rFonts w:ascii="Century Gothic" w:hAnsi="Century Gothic"/>
          <w:color w:val="000000"/>
          <w:sz w:val="24"/>
          <w:szCs w:val="24"/>
          <w:lang w:eastAsia="it-IT"/>
        </w:rPr>
        <w:t xml:space="preserve"> &gt; </w:t>
      </w:r>
      <w:r w:rsidR="002D0BD5" w:rsidRPr="00995F1F">
        <w:rPr>
          <w:rFonts w:ascii="Century Gothic" w:hAnsi="Century Gothic"/>
          <w:color w:val="000000"/>
          <w:sz w:val="24"/>
          <w:szCs w:val="24"/>
          <w:lang w:eastAsia="it-IT"/>
        </w:rPr>
        <w:t>25</w:t>
      </w:r>
      <w:r w:rsidR="00BB10B7" w:rsidRPr="00995F1F">
        <w:rPr>
          <w:rFonts w:ascii="Century Gothic" w:hAnsi="Century Gothic"/>
          <w:color w:val="000000"/>
          <w:sz w:val="24"/>
          <w:szCs w:val="24"/>
          <w:lang w:eastAsia="it-IT"/>
        </w:rPr>
        <w:t xml:space="preserve"> </w:t>
      </w:r>
      <w:r w:rsidR="001B036E" w:rsidRPr="00995F1F">
        <w:rPr>
          <w:rFonts w:ascii="Century Gothic" w:hAnsi="Century Gothic"/>
          <w:color w:val="000000"/>
          <w:sz w:val="24"/>
          <w:szCs w:val="24"/>
          <w:lang w:eastAsia="it-IT"/>
        </w:rPr>
        <w:t>luglio</w:t>
      </w:r>
      <w:r w:rsidRPr="00995F1F">
        <w:rPr>
          <w:rFonts w:ascii="Century Gothic" w:hAnsi="Century Gothic"/>
          <w:color w:val="000000"/>
          <w:sz w:val="24"/>
          <w:szCs w:val="24"/>
          <w:lang w:eastAsia="it-IT"/>
        </w:rPr>
        <w:t xml:space="preserve"> 202</w:t>
      </w:r>
      <w:r w:rsidR="00BA40E3" w:rsidRPr="00995F1F">
        <w:rPr>
          <w:rFonts w:ascii="Century Gothic" w:hAnsi="Century Gothic"/>
          <w:color w:val="000000"/>
          <w:sz w:val="24"/>
          <w:szCs w:val="24"/>
          <w:lang w:eastAsia="it-IT"/>
        </w:rPr>
        <w:t>1</w:t>
      </w:r>
      <w:r w:rsidR="0010592F" w:rsidRPr="00995F1F">
        <w:rPr>
          <w:rFonts w:ascii="Century Gothic" w:hAnsi="Century Gothic"/>
          <w:color w:val="000000"/>
          <w:sz w:val="24"/>
          <w:szCs w:val="24"/>
          <w:lang w:eastAsia="it-IT"/>
        </w:rPr>
        <w:t xml:space="preserve"> ore 21.00</w:t>
      </w:r>
    </w:p>
    <w:p w14:paraId="2361C591" w14:textId="13647519" w:rsidR="002D0BD5" w:rsidRPr="00995F1F" w:rsidRDefault="005304D6" w:rsidP="001B036E">
      <w:pPr>
        <w:spacing w:line="259" w:lineRule="auto"/>
        <w:jc w:val="both"/>
        <w:rPr>
          <w:rFonts w:ascii="Century Gothic" w:eastAsia="Calibri" w:hAnsi="Century Gothic"/>
          <w:b/>
          <w:bCs/>
          <w:sz w:val="24"/>
          <w:szCs w:val="24"/>
        </w:rPr>
      </w:pPr>
      <w:r w:rsidRPr="00995F1F">
        <w:rPr>
          <w:rFonts w:ascii="Century Gothic" w:eastAsia="Calibri" w:hAnsi="Century Gothic"/>
          <w:b/>
          <w:bCs/>
          <w:sz w:val="24"/>
          <w:szCs w:val="24"/>
        </w:rPr>
        <w:t xml:space="preserve">LA CERISAIE / </w:t>
      </w:r>
      <w:r w:rsidR="002D0BD5" w:rsidRPr="00995F1F">
        <w:rPr>
          <w:rFonts w:ascii="Century Gothic" w:eastAsia="Calibri" w:hAnsi="Century Gothic"/>
          <w:b/>
          <w:bCs/>
          <w:sz w:val="24"/>
          <w:szCs w:val="24"/>
        </w:rPr>
        <w:t xml:space="preserve">IL GIARDINO DEI CILIEGI </w:t>
      </w:r>
    </w:p>
    <w:p w14:paraId="78E51986" w14:textId="77777777" w:rsidR="002D0BD5" w:rsidRPr="00995F1F" w:rsidRDefault="002D0BD5" w:rsidP="002D0BD5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di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Anton Čechov</w:t>
      </w:r>
    </w:p>
    <w:p w14:paraId="08111F52" w14:textId="01A25F11" w:rsidR="005556C8" w:rsidRPr="00995F1F" w:rsidRDefault="005556C8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traduzione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Françoise Morvan</w:t>
      </w:r>
      <w:r w:rsidR="00CF68D6" w:rsidRPr="00995F1F">
        <w:rPr>
          <w:rFonts w:ascii="Century Gothic" w:hAnsi="Century Gothic"/>
          <w:bCs/>
          <w:sz w:val="24"/>
          <w:szCs w:val="24"/>
        </w:rPr>
        <w:t xml:space="preserve"> e</w:t>
      </w:r>
      <w:r w:rsidR="00CF68D6" w:rsidRPr="00995F1F">
        <w:rPr>
          <w:rFonts w:ascii="Century Gothic" w:hAnsi="Century Gothic"/>
          <w:b/>
          <w:bCs/>
          <w:sz w:val="24"/>
          <w:szCs w:val="24"/>
        </w:rPr>
        <w:t xml:space="preserve"> André Markowicz</w:t>
      </w:r>
      <w:r w:rsidR="00CF68D6" w:rsidRPr="00995F1F">
        <w:rPr>
          <w:rFonts w:ascii="Century Gothic" w:hAnsi="Century Gothic"/>
          <w:sz w:val="24"/>
          <w:szCs w:val="24"/>
        </w:rPr>
        <w:t xml:space="preserve"> </w:t>
      </w:r>
    </w:p>
    <w:p w14:paraId="13EB4729" w14:textId="77777777" w:rsidR="005556C8" w:rsidRPr="00995F1F" w:rsidRDefault="005556C8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regia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Tiago Rodrigues</w:t>
      </w:r>
    </w:p>
    <w:p w14:paraId="2B82D75A" w14:textId="4F160BEE" w:rsidR="008B14E0" w:rsidRPr="00995F1F" w:rsidRDefault="008B14E0" w:rsidP="008B14E0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con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 xml:space="preserve">Isabelle Huppert, Isabel Abreu, Tom Adjibi, </w:t>
      </w:r>
      <w:r w:rsidR="005304D6" w:rsidRPr="00995F1F">
        <w:rPr>
          <w:rFonts w:ascii="Century Gothic" w:hAnsi="Century Gothic"/>
          <w:b/>
          <w:bCs/>
          <w:sz w:val="24"/>
          <w:szCs w:val="24"/>
        </w:rPr>
        <w:t xml:space="preserve">Nadim Ahmed, </w:t>
      </w:r>
      <w:r w:rsidRPr="00995F1F">
        <w:rPr>
          <w:rFonts w:ascii="Century Gothic" w:hAnsi="Century Gothic"/>
          <w:b/>
          <w:bCs/>
          <w:sz w:val="24"/>
          <w:szCs w:val="24"/>
        </w:rPr>
        <w:t>Suzanne Aubert, Marcel Bozonnet, Océane Cairaty,</w:t>
      </w:r>
      <w:r w:rsidRPr="00995F1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Alex Descas, Adama Diop, David Geselson</w:t>
      </w:r>
      <w:r w:rsidR="004938E9" w:rsidRPr="00995F1F">
        <w:rPr>
          <w:rFonts w:ascii="Century Gothic" w:hAnsi="Century Gothic"/>
          <w:b/>
          <w:bCs/>
          <w:sz w:val="24"/>
          <w:szCs w:val="24"/>
        </w:rPr>
        <w:t xml:space="preserve">, Grégoire Monsaingeon, Alison </w:t>
      </w:r>
      <w:r w:rsidRPr="00995F1F">
        <w:rPr>
          <w:rFonts w:ascii="Century Gothic" w:hAnsi="Century Gothic"/>
          <w:b/>
          <w:bCs/>
          <w:sz w:val="24"/>
          <w:szCs w:val="24"/>
        </w:rPr>
        <w:t xml:space="preserve">Valence </w:t>
      </w:r>
      <w:r w:rsidRPr="00995F1F">
        <w:rPr>
          <w:rFonts w:ascii="Century Gothic" w:hAnsi="Century Gothic"/>
          <w:bCs/>
          <w:sz w:val="24"/>
          <w:szCs w:val="24"/>
        </w:rPr>
        <w:t>e</w:t>
      </w:r>
      <w:r w:rsidRPr="00995F1F">
        <w:rPr>
          <w:rFonts w:ascii="Century Gothic" w:hAnsi="Century Gothic"/>
          <w:b/>
          <w:bCs/>
          <w:sz w:val="24"/>
          <w:szCs w:val="24"/>
        </w:rPr>
        <w:t xml:space="preserve"> Manuela Azevedo, Hélder Gon</w:t>
      </w:r>
      <w:r w:rsidR="005304D6" w:rsidRPr="00995F1F">
        <w:rPr>
          <w:rFonts w:ascii="Century Gothic" w:hAnsi="Century Gothic"/>
          <w:b/>
          <w:bCs/>
          <w:sz w:val="24"/>
          <w:szCs w:val="24"/>
        </w:rPr>
        <w:t>ç</w:t>
      </w:r>
      <w:r w:rsidRPr="00995F1F">
        <w:rPr>
          <w:rFonts w:ascii="Century Gothic" w:hAnsi="Century Gothic"/>
          <w:b/>
          <w:bCs/>
          <w:sz w:val="24"/>
          <w:szCs w:val="24"/>
        </w:rPr>
        <w:t>alves</w:t>
      </w:r>
      <w:r w:rsidRPr="00995F1F">
        <w:rPr>
          <w:rFonts w:ascii="Century Gothic" w:hAnsi="Century Gothic"/>
          <w:sz w:val="24"/>
          <w:szCs w:val="24"/>
        </w:rPr>
        <w:t xml:space="preserve"> (musicisti)</w:t>
      </w:r>
    </w:p>
    <w:p w14:paraId="4415B67A" w14:textId="79A005C7" w:rsidR="005556C8" w:rsidRPr="00995F1F" w:rsidRDefault="005556C8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collaborazione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i/>
          <w:sz w:val="24"/>
          <w:szCs w:val="24"/>
        </w:rPr>
        <w:t>artistica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Magda Bizarro</w:t>
      </w:r>
    </w:p>
    <w:p w14:paraId="10064435" w14:textId="77777777" w:rsidR="005556C8" w:rsidRPr="00995F1F" w:rsidRDefault="005556C8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scene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Fernando Ribeiro</w:t>
      </w:r>
    </w:p>
    <w:p w14:paraId="5B736F95" w14:textId="1B67B244" w:rsidR="005556C8" w:rsidRPr="00995F1F" w:rsidRDefault="007345B7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disegno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="005556C8" w:rsidRPr="00995F1F">
        <w:rPr>
          <w:rFonts w:ascii="Century Gothic" w:hAnsi="Century Gothic"/>
          <w:i/>
          <w:sz w:val="24"/>
          <w:szCs w:val="24"/>
        </w:rPr>
        <w:t>luci</w:t>
      </w:r>
      <w:r w:rsidR="005556C8" w:rsidRPr="00995F1F">
        <w:rPr>
          <w:rFonts w:ascii="Century Gothic" w:hAnsi="Century Gothic"/>
          <w:sz w:val="24"/>
          <w:szCs w:val="24"/>
        </w:rPr>
        <w:t xml:space="preserve"> </w:t>
      </w:r>
      <w:r w:rsidR="005556C8" w:rsidRPr="00995F1F">
        <w:rPr>
          <w:rFonts w:ascii="Century Gothic" w:hAnsi="Century Gothic"/>
          <w:b/>
          <w:bCs/>
          <w:sz w:val="24"/>
          <w:szCs w:val="24"/>
        </w:rPr>
        <w:t>Nuno Meira</w:t>
      </w:r>
    </w:p>
    <w:p w14:paraId="768C8828" w14:textId="742EA315" w:rsidR="005556C8" w:rsidRPr="00995F1F" w:rsidRDefault="005556C8" w:rsidP="005556C8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costumi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José António Tenente</w:t>
      </w:r>
    </w:p>
    <w:p w14:paraId="3C33484D" w14:textId="30E456D5" w:rsidR="007345B7" w:rsidRPr="00995F1F" w:rsidRDefault="007345B7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trucco e parrucco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sz w:val="24"/>
          <w:szCs w:val="24"/>
        </w:rPr>
        <w:t xml:space="preserve">Sylvie Cailler, Jocelyne Milazzo </w:t>
      </w:r>
    </w:p>
    <w:p w14:paraId="08506F5B" w14:textId="443AFE15" w:rsidR="005556C8" w:rsidRPr="00995F1F" w:rsidRDefault="005556C8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musica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Hélder Gon</w:t>
      </w:r>
      <w:r w:rsidR="005304D6" w:rsidRPr="00995F1F">
        <w:rPr>
          <w:rFonts w:ascii="Century Gothic" w:hAnsi="Century Gothic"/>
          <w:b/>
          <w:bCs/>
          <w:sz w:val="24"/>
          <w:szCs w:val="24"/>
        </w:rPr>
        <w:t>ç</w:t>
      </w:r>
      <w:r w:rsidRPr="00995F1F">
        <w:rPr>
          <w:rFonts w:ascii="Century Gothic" w:hAnsi="Century Gothic"/>
          <w:b/>
          <w:bCs/>
          <w:sz w:val="24"/>
          <w:szCs w:val="24"/>
        </w:rPr>
        <w:t>alves</w:t>
      </w:r>
      <w:r w:rsidRPr="00995F1F">
        <w:rPr>
          <w:rFonts w:ascii="Century Gothic" w:hAnsi="Century Gothic"/>
          <w:sz w:val="24"/>
          <w:szCs w:val="24"/>
        </w:rPr>
        <w:t xml:space="preserve"> (composizione), </w:t>
      </w:r>
      <w:r w:rsidRPr="00995F1F">
        <w:rPr>
          <w:rFonts w:ascii="Century Gothic" w:hAnsi="Century Gothic"/>
          <w:b/>
          <w:bCs/>
          <w:sz w:val="24"/>
          <w:szCs w:val="24"/>
        </w:rPr>
        <w:t>Tiago Rodrigues</w:t>
      </w:r>
      <w:r w:rsidRPr="00995F1F">
        <w:rPr>
          <w:rFonts w:ascii="Century Gothic" w:hAnsi="Century Gothic"/>
          <w:sz w:val="24"/>
          <w:szCs w:val="24"/>
        </w:rPr>
        <w:t xml:space="preserve"> (parole)</w:t>
      </w:r>
    </w:p>
    <w:p w14:paraId="10CC9D40" w14:textId="77777777" w:rsidR="005556C8" w:rsidRPr="00995F1F" w:rsidRDefault="005556C8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suono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Pedro Costa</w:t>
      </w:r>
    </w:p>
    <w:p w14:paraId="14B953A7" w14:textId="63BD08EA" w:rsidR="005556C8" w:rsidRPr="00995F1F" w:rsidRDefault="005556C8" w:rsidP="005556C8">
      <w:pPr>
        <w:pStyle w:val="Nessunaspaziatura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assistente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i/>
          <w:sz w:val="24"/>
          <w:szCs w:val="24"/>
        </w:rPr>
        <w:t>alla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="00F95666" w:rsidRPr="00995F1F">
        <w:rPr>
          <w:rFonts w:ascii="Century Gothic" w:hAnsi="Century Gothic"/>
          <w:i/>
          <w:sz w:val="24"/>
          <w:szCs w:val="24"/>
        </w:rPr>
        <w:t>regia</w:t>
      </w:r>
      <w:r w:rsidR="00F95666"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Ilyas Mettioui</w:t>
      </w:r>
    </w:p>
    <w:p w14:paraId="2B3D77EC" w14:textId="77D02238" w:rsidR="004938E9" w:rsidRPr="00995F1F" w:rsidRDefault="005556C8" w:rsidP="005556C8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995F1F">
        <w:rPr>
          <w:rFonts w:ascii="Century Gothic" w:hAnsi="Century Gothic"/>
          <w:i/>
          <w:sz w:val="24"/>
          <w:szCs w:val="24"/>
        </w:rPr>
        <w:t>produzione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="00724AA6" w:rsidRPr="00995F1F">
        <w:rPr>
          <w:rFonts w:ascii="Century Gothic" w:hAnsi="Century Gothic"/>
          <w:b/>
          <w:bCs/>
          <w:sz w:val="24"/>
          <w:szCs w:val="24"/>
        </w:rPr>
        <w:t>Festival d’Avignon</w:t>
      </w:r>
    </w:p>
    <w:p w14:paraId="02809542" w14:textId="44221CE0" w:rsidR="005556C8" w:rsidRPr="00995F1F" w:rsidRDefault="004938E9" w:rsidP="005556C8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995F1F">
        <w:rPr>
          <w:rFonts w:ascii="Century Gothic" w:hAnsi="Century Gothic"/>
          <w:bCs/>
          <w:i/>
          <w:iCs/>
          <w:sz w:val="24"/>
          <w:szCs w:val="24"/>
        </w:rPr>
        <w:t>coproduzione</w:t>
      </w:r>
      <w:r w:rsidR="003B3EBF" w:rsidRPr="00995F1F">
        <w:rPr>
          <w:rFonts w:ascii="Century Gothic" w:hAnsi="Century Gothic"/>
          <w:b/>
          <w:bCs/>
          <w:iCs/>
          <w:sz w:val="24"/>
          <w:szCs w:val="24"/>
        </w:rPr>
        <w:t xml:space="preserve"> Teatro di Napoli – Teatro Nazionale</w:t>
      </w:r>
      <w:r w:rsidR="003B3EBF" w:rsidRPr="00995F1F">
        <w:rPr>
          <w:rFonts w:ascii="Century Gothic" w:hAnsi="Century Gothic"/>
          <w:b/>
          <w:bCs/>
          <w:i/>
          <w:iCs/>
          <w:sz w:val="24"/>
          <w:szCs w:val="24"/>
        </w:rPr>
        <w:t>,</w:t>
      </w:r>
      <w:r w:rsidR="003B3EBF" w:rsidRPr="00995F1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24AA6" w:rsidRPr="00995F1F">
        <w:rPr>
          <w:rFonts w:ascii="Century Gothic" w:hAnsi="Century Gothic"/>
          <w:b/>
          <w:bCs/>
          <w:sz w:val="24"/>
          <w:szCs w:val="24"/>
        </w:rPr>
        <w:t xml:space="preserve">Fondazione Campania dei Festival – Campania Teatro Festival, </w:t>
      </w:r>
      <w:r w:rsidR="005556C8" w:rsidRPr="00995F1F">
        <w:rPr>
          <w:rFonts w:ascii="Century Gothic" w:hAnsi="Century Gothic"/>
          <w:b/>
          <w:bCs/>
          <w:sz w:val="24"/>
          <w:szCs w:val="24"/>
        </w:rPr>
        <w:t>Odéon-Théâtre de l’Europe, Théâtre National Dona Maria II,</w:t>
      </w:r>
      <w:r w:rsidR="00580449" w:rsidRPr="00995F1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556C8" w:rsidRPr="00995F1F">
        <w:rPr>
          <w:rFonts w:ascii="Century Gothic" w:hAnsi="Century Gothic"/>
          <w:b/>
          <w:bCs/>
          <w:sz w:val="24"/>
          <w:szCs w:val="24"/>
        </w:rPr>
        <w:t xml:space="preserve">Théâtre National Populaire de Villeurbanne, Comédie de Genève, La Coursive, scène nationale de la Rochelle, Wiener Festwochen, Comédie de Clermont Ferrand, </w:t>
      </w:r>
      <w:r w:rsidR="005304D6" w:rsidRPr="00995F1F">
        <w:rPr>
          <w:rFonts w:ascii="Century Gothic" w:hAnsi="Century Gothic"/>
          <w:b/>
          <w:bCs/>
          <w:sz w:val="24"/>
          <w:szCs w:val="24"/>
        </w:rPr>
        <w:t>National Taichung Theater</w:t>
      </w:r>
      <w:r w:rsidR="00724AA6" w:rsidRPr="00995F1F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5556C8" w:rsidRPr="00995F1F">
        <w:rPr>
          <w:rFonts w:ascii="Century Gothic" w:hAnsi="Century Gothic"/>
          <w:b/>
          <w:bCs/>
          <w:sz w:val="24"/>
          <w:szCs w:val="24"/>
        </w:rPr>
        <w:t>Théâtre de Liège</w:t>
      </w:r>
      <w:r w:rsidR="007747EE" w:rsidRPr="00995F1F">
        <w:rPr>
          <w:rFonts w:ascii="Century Gothic" w:hAnsi="Century Gothic"/>
          <w:b/>
          <w:bCs/>
          <w:sz w:val="24"/>
          <w:szCs w:val="24"/>
        </w:rPr>
        <w:t>, Holland Festival</w:t>
      </w:r>
    </w:p>
    <w:p w14:paraId="6BBA903E" w14:textId="37D1DA22" w:rsidR="007747EE" w:rsidRPr="00995F1F" w:rsidRDefault="007747EE" w:rsidP="005556C8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995F1F">
        <w:rPr>
          <w:rFonts w:ascii="Century Gothic" w:hAnsi="Century Gothic"/>
          <w:bCs/>
          <w:i/>
          <w:sz w:val="24"/>
          <w:szCs w:val="24"/>
        </w:rPr>
        <w:t>con il sostegno di</w:t>
      </w:r>
      <w:r w:rsidRPr="00995F1F">
        <w:rPr>
          <w:rFonts w:ascii="Century Gothic" w:hAnsi="Century Gothic"/>
          <w:b/>
          <w:bCs/>
          <w:sz w:val="24"/>
          <w:szCs w:val="24"/>
        </w:rPr>
        <w:t xml:space="preserve"> Fondation Calouste Gulbenkian</w:t>
      </w:r>
    </w:p>
    <w:p w14:paraId="08AA1343" w14:textId="766F3148" w:rsidR="007B775F" w:rsidRPr="00995F1F" w:rsidRDefault="007B775F" w:rsidP="005556C8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995F1F">
        <w:rPr>
          <w:rFonts w:ascii="Century Gothic" w:hAnsi="Century Gothic"/>
          <w:bCs/>
          <w:i/>
          <w:sz w:val="24"/>
          <w:szCs w:val="24"/>
        </w:rPr>
        <w:t>residenza</w:t>
      </w:r>
      <w:r w:rsidRPr="00995F1F">
        <w:rPr>
          <w:rFonts w:ascii="Century Gothic" w:hAnsi="Century Gothic"/>
          <w:bCs/>
          <w:sz w:val="24"/>
          <w:szCs w:val="24"/>
        </w:rPr>
        <w:t xml:space="preserve"> </w:t>
      </w:r>
      <w:r w:rsidRPr="00995F1F">
        <w:rPr>
          <w:rFonts w:ascii="Century Gothic" w:hAnsi="Century Gothic"/>
          <w:b/>
          <w:bCs/>
          <w:sz w:val="24"/>
          <w:szCs w:val="24"/>
        </w:rPr>
        <w:t>La FabricA du Festival d’Avignon e Odéon-Théâtre de l’Europe</w:t>
      </w:r>
    </w:p>
    <w:p w14:paraId="14EB65EF" w14:textId="25B22E42" w:rsidR="007B775F" w:rsidRPr="00995F1F" w:rsidRDefault="007B775F" w:rsidP="005556C8">
      <w:pPr>
        <w:pStyle w:val="Nessunaspaziatura"/>
        <w:rPr>
          <w:rFonts w:ascii="Century Gothic" w:hAnsi="Century Gothic"/>
          <w:b/>
          <w:bCs/>
          <w:sz w:val="8"/>
          <w:szCs w:val="8"/>
        </w:rPr>
      </w:pPr>
    </w:p>
    <w:p w14:paraId="21CDFE8E" w14:textId="4A1B3A38" w:rsidR="00995F1F" w:rsidRPr="00995F1F" w:rsidRDefault="00995F1F" w:rsidP="00995F1F">
      <w:pPr>
        <w:pStyle w:val="Nessunaspaziatura"/>
        <w:jc w:val="both"/>
        <w:rPr>
          <w:rFonts w:ascii="Century Gothic" w:hAnsi="Century Gothic"/>
          <w:bCs/>
          <w:sz w:val="24"/>
          <w:szCs w:val="24"/>
        </w:rPr>
      </w:pPr>
      <w:r w:rsidRPr="00995F1F">
        <w:rPr>
          <w:rFonts w:ascii="Century Gothic" w:hAnsi="Century Gothic"/>
          <w:bCs/>
          <w:i/>
          <w:sz w:val="24"/>
          <w:szCs w:val="24"/>
        </w:rPr>
        <w:t>prima italiana</w:t>
      </w:r>
    </w:p>
    <w:p w14:paraId="2737D800" w14:textId="77777777" w:rsidR="00995F1F" w:rsidRPr="00995F1F" w:rsidRDefault="00995F1F" w:rsidP="00995F1F">
      <w:pPr>
        <w:pStyle w:val="Nessunaspaziatura"/>
        <w:jc w:val="both"/>
        <w:rPr>
          <w:rFonts w:ascii="Century Gothic" w:hAnsi="Century Gothic"/>
          <w:bCs/>
          <w:sz w:val="8"/>
          <w:szCs w:val="8"/>
        </w:rPr>
      </w:pPr>
    </w:p>
    <w:p w14:paraId="3FA568CD" w14:textId="0213F243" w:rsidR="007B775F" w:rsidRPr="00995F1F" w:rsidRDefault="00995F1F" w:rsidP="00995F1F">
      <w:pPr>
        <w:pStyle w:val="Nessunaspaziatura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Lo s</w:t>
      </w:r>
      <w:r w:rsidR="007B775F" w:rsidRPr="00995F1F">
        <w:rPr>
          <w:rFonts w:ascii="Century Gothic" w:hAnsi="Century Gothic"/>
          <w:bCs/>
          <w:sz w:val="24"/>
          <w:szCs w:val="24"/>
        </w:rPr>
        <w:t xml:space="preserve">pettacolo </w:t>
      </w:r>
      <w:r>
        <w:rPr>
          <w:rFonts w:ascii="Century Gothic" w:hAnsi="Century Gothic"/>
          <w:bCs/>
          <w:sz w:val="24"/>
          <w:szCs w:val="24"/>
        </w:rPr>
        <w:t xml:space="preserve">è in lingua </w:t>
      </w:r>
      <w:r w:rsidR="007B775F" w:rsidRPr="00995F1F">
        <w:rPr>
          <w:rFonts w:ascii="Century Gothic" w:hAnsi="Century Gothic"/>
          <w:bCs/>
          <w:sz w:val="24"/>
          <w:szCs w:val="24"/>
        </w:rPr>
        <w:t xml:space="preserve">francese con sovratitoli in italiano a cura di Prescott </w:t>
      </w:r>
      <w:r w:rsidR="00F20EB0" w:rsidRPr="00995F1F">
        <w:rPr>
          <w:rFonts w:ascii="Century Gothic" w:hAnsi="Century Gothic"/>
          <w:bCs/>
          <w:sz w:val="24"/>
          <w:szCs w:val="24"/>
        </w:rPr>
        <w:t>S</w:t>
      </w:r>
      <w:r w:rsidR="007B775F" w:rsidRPr="00995F1F">
        <w:rPr>
          <w:rFonts w:ascii="Century Gothic" w:hAnsi="Century Gothic"/>
          <w:bCs/>
          <w:sz w:val="24"/>
          <w:szCs w:val="24"/>
        </w:rPr>
        <w:t>tudio</w:t>
      </w:r>
    </w:p>
    <w:p w14:paraId="5A391F3D" w14:textId="7EFBACCA" w:rsidR="0004152D" w:rsidRPr="00995F1F" w:rsidRDefault="00995F1F" w:rsidP="00995F1F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04152D" w:rsidRPr="00995F1F">
        <w:rPr>
          <w:rFonts w:ascii="Century Gothic" w:hAnsi="Century Gothic"/>
          <w:sz w:val="24"/>
          <w:szCs w:val="24"/>
        </w:rPr>
        <w:t>pettacolo creato per l’apertura della 75° edizione del Festival D’Avignone</w:t>
      </w:r>
      <w:r w:rsidR="007B775F" w:rsidRPr="00995F1F">
        <w:rPr>
          <w:rFonts w:ascii="Century Gothic" w:hAnsi="Century Gothic"/>
          <w:sz w:val="24"/>
          <w:szCs w:val="24"/>
        </w:rPr>
        <w:t xml:space="preserve">. </w:t>
      </w:r>
    </w:p>
    <w:p w14:paraId="5E8A821A" w14:textId="77777777" w:rsidR="00824498" w:rsidRPr="00995F1F" w:rsidRDefault="00824498" w:rsidP="00995F1F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14:paraId="4B0202F9" w14:textId="2738F6A8" w:rsidR="00F05BEA" w:rsidRPr="00995F1F" w:rsidRDefault="00F05BEA" w:rsidP="00995F1F">
      <w:pPr>
        <w:jc w:val="both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sz w:val="24"/>
          <w:szCs w:val="24"/>
        </w:rPr>
        <w:t xml:space="preserve">La magnetica Isabelle Huppert, una delle attrici più premiate della storia del cinema, e l’autore, attore e regista portoghese Tiago Rodrigues, eccellenza della scena europea, condividono il progetto di messa in scena di una delle più note opere di Anton Cechov. </w:t>
      </w:r>
    </w:p>
    <w:p w14:paraId="3A1B80C9" w14:textId="2622D0BD" w:rsidR="00995F1F" w:rsidRDefault="00F05BEA" w:rsidP="00995F1F">
      <w:pPr>
        <w:jc w:val="both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sz w:val="24"/>
          <w:szCs w:val="24"/>
        </w:rPr>
        <w:t>“</w:t>
      </w:r>
      <w:r w:rsidR="00532040" w:rsidRPr="00995F1F">
        <w:rPr>
          <w:rFonts w:ascii="Century Gothic" w:hAnsi="Century Gothic"/>
          <w:sz w:val="24"/>
          <w:szCs w:val="24"/>
        </w:rPr>
        <w:t>Ho sempre pensato che</w:t>
      </w:r>
      <w:r w:rsidRPr="00995F1F">
        <w:rPr>
          <w:rFonts w:ascii="Century Gothic" w:hAnsi="Century Gothic"/>
          <w:sz w:val="24"/>
          <w:szCs w:val="24"/>
        </w:rPr>
        <w:t xml:space="preserve"> </w:t>
      </w:r>
      <w:r w:rsidRPr="00995F1F">
        <w:rPr>
          <w:rFonts w:ascii="Century Gothic" w:hAnsi="Century Gothic"/>
          <w:i/>
          <w:iCs/>
          <w:sz w:val="24"/>
          <w:szCs w:val="24"/>
        </w:rPr>
        <w:t>I</w:t>
      </w:r>
      <w:r w:rsidR="00532040" w:rsidRPr="00995F1F">
        <w:rPr>
          <w:rFonts w:ascii="Century Gothic" w:hAnsi="Century Gothic"/>
          <w:i/>
          <w:iCs/>
          <w:sz w:val="24"/>
          <w:szCs w:val="24"/>
        </w:rPr>
        <w:t>l giardino dei ciliegi</w:t>
      </w:r>
      <w:r w:rsidR="00532040" w:rsidRPr="00995F1F">
        <w:rPr>
          <w:rFonts w:ascii="Century Gothic" w:hAnsi="Century Gothic"/>
          <w:sz w:val="24"/>
          <w:szCs w:val="24"/>
        </w:rPr>
        <w:t xml:space="preserve"> trattasse della fine</w:t>
      </w:r>
      <w:r w:rsidRPr="00995F1F">
        <w:rPr>
          <w:rFonts w:ascii="Century Gothic" w:hAnsi="Century Gothic"/>
          <w:sz w:val="24"/>
          <w:szCs w:val="24"/>
        </w:rPr>
        <w:t>”</w:t>
      </w:r>
      <w:r w:rsidR="00995F1F">
        <w:rPr>
          <w:rFonts w:ascii="Century Gothic" w:hAnsi="Century Gothic"/>
          <w:sz w:val="24"/>
          <w:szCs w:val="24"/>
        </w:rPr>
        <w:t>, dichiara</w:t>
      </w:r>
      <w:r w:rsidRPr="00995F1F">
        <w:rPr>
          <w:rFonts w:ascii="Century Gothic" w:hAnsi="Century Gothic"/>
          <w:sz w:val="24"/>
          <w:szCs w:val="24"/>
        </w:rPr>
        <w:t xml:space="preserve"> il regista </w:t>
      </w:r>
      <w:r w:rsidR="00995F1F">
        <w:rPr>
          <w:rFonts w:ascii="Century Gothic" w:hAnsi="Century Gothic"/>
          <w:sz w:val="24"/>
          <w:szCs w:val="24"/>
        </w:rPr>
        <w:t>Tiago Rodrigues</w:t>
      </w:r>
      <w:r w:rsidR="00532040" w:rsidRPr="00995F1F">
        <w:rPr>
          <w:rFonts w:ascii="Century Gothic" w:hAnsi="Century Gothic"/>
          <w:sz w:val="24"/>
          <w:szCs w:val="24"/>
        </w:rPr>
        <w:t>. </w:t>
      </w:r>
      <w:r w:rsidRPr="00995F1F">
        <w:rPr>
          <w:rFonts w:ascii="Century Gothic" w:hAnsi="Century Gothic"/>
          <w:sz w:val="24"/>
          <w:szCs w:val="24"/>
        </w:rPr>
        <w:t>“</w:t>
      </w:r>
      <w:r w:rsidR="00532040" w:rsidRPr="00995F1F">
        <w:rPr>
          <w:rFonts w:ascii="Century Gothic" w:hAnsi="Century Gothic"/>
          <w:sz w:val="24"/>
          <w:szCs w:val="24"/>
        </w:rPr>
        <w:t>Prima come lettore e studente di drammaturgia e poi come attore ho sempre considerato l'ultima commedia di Che</w:t>
      </w:r>
      <w:r w:rsidRPr="00995F1F">
        <w:rPr>
          <w:rFonts w:ascii="Century Gothic" w:hAnsi="Century Gothic"/>
          <w:sz w:val="24"/>
          <w:szCs w:val="24"/>
        </w:rPr>
        <w:t>c</w:t>
      </w:r>
      <w:r w:rsidR="00532040" w:rsidRPr="00995F1F">
        <w:rPr>
          <w:rFonts w:ascii="Century Gothic" w:hAnsi="Century Gothic"/>
          <w:sz w:val="24"/>
          <w:szCs w:val="24"/>
        </w:rPr>
        <w:t>ov</w:t>
      </w:r>
      <w:r w:rsidR="00995F1F">
        <w:rPr>
          <w:rFonts w:ascii="Century Gothic" w:hAnsi="Century Gothic"/>
          <w:sz w:val="24"/>
          <w:szCs w:val="24"/>
        </w:rPr>
        <w:t xml:space="preserve"> </w:t>
      </w:r>
      <w:r w:rsidR="00532040" w:rsidRPr="00995F1F">
        <w:rPr>
          <w:rFonts w:ascii="Century Gothic" w:hAnsi="Century Gothic"/>
          <w:sz w:val="24"/>
          <w:szCs w:val="24"/>
        </w:rPr>
        <w:t>come un dramma sulla fine delle cose e sugli addii. Mi sbagliavo, o meglio, credo che fossi nel posto sbagliato al momento sbagliato –</w:t>
      </w:r>
      <w:bookmarkStart w:id="0" w:name="_GoBack"/>
      <w:bookmarkEnd w:id="0"/>
      <w:r w:rsidR="00532040" w:rsidRPr="00995F1F">
        <w:rPr>
          <w:rFonts w:ascii="Century Gothic" w:hAnsi="Century Gothic"/>
          <w:sz w:val="24"/>
          <w:szCs w:val="24"/>
        </w:rPr>
        <w:t xml:space="preserve"> come se non avessi avuto abbastanza esperienze di vita da poterla analizzare sotto la luce</w:t>
      </w:r>
      <w:r w:rsidRPr="00995F1F">
        <w:rPr>
          <w:rFonts w:ascii="Century Gothic" w:hAnsi="Century Gothic"/>
          <w:sz w:val="24"/>
          <w:szCs w:val="24"/>
        </w:rPr>
        <w:t xml:space="preserve"> giusta</w:t>
      </w:r>
      <w:r w:rsidR="00532040" w:rsidRPr="00995F1F">
        <w:rPr>
          <w:rFonts w:ascii="Century Gothic" w:hAnsi="Century Gothic"/>
          <w:sz w:val="24"/>
          <w:szCs w:val="24"/>
        </w:rPr>
        <w:t>. Oggi</w:t>
      </w:r>
      <w:r w:rsidRPr="00995F1F">
        <w:rPr>
          <w:rFonts w:ascii="Century Gothic" w:hAnsi="Century Gothic"/>
          <w:sz w:val="24"/>
          <w:szCs w:val="24"/>
        </w:rPr>
        <w:t>,</w:t>
      </w:r>
      <w:r w:rsidR="00532040" w:rsidRPr="00995F1F">
        <w:rPr>
          <w:rFonts w:ascii="Century Gothic" w:hAnsi="Century Gothic"/>
          <w:sz w:val="24"/>
          <w:szCs w:val="24"/>
        </w:rPr>
        <w:t xml:space="preserve"> dal mio punto di vista, posso affermare che </w:t>
      </w:r>
      <w:r w:rsidR="00532040" w:rsidRPr="00995F1F">
        <w:rPr>
          <w:rFonts w:ascii="Century Gothic" w:hAnsi="Century Gothic"/>
          <w:i/>
          <w:sz w:val="24"/>
          <w:szCs w:val="24"/>
        </w:rPr>
        <w:t>Il giardino dei ciliegi</w:t>
      </w:r>
      <w:r w:rsidR="00532040" w:rsidRPr="00995F1F">
        <w:rPr>
          <w:rFonts w:ascii="Century Gothic" w:hAnsi="Century Gothic"/>
          <w:sz w:val="24"/>
          <w:szCs w:val="24"/>
        </w:rPr>
        <w:t xml:space="preserve"> tratta dell’inesorabile forza del cambiamento.</w:t>
      </w:r>
    </w:p>
    <w:p w14:paraId="78607739" w14:textId="3B51544A" w:rsidR="00B050DE" w:rsidRPr="00995F1F" w:rsidRDefault="00532040" w:rsidP="00995F1F">
      <w:pPr>
        <w:jc w:val="both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sz w:val="24"/>
          <w:szCs w:val="24"/>
        </w:rPr>
        <w:lastRenderedPageBreak/>
        <w:t xml:space="preserve">Mettere in scena </w:t>
      </w:r>
      <w:r w:rsidRPr="00995F1F">
        <w:rPr>
          <w:rFonts w:ascii="Century Gothic" w:hAnsi="Century Gothic"/>
          <w:i/>
          <w:sz w:val="24"/>
          <w:szCs w:val="24"/>
        </w:rPr>
        <w:t>Il giardino dei ciliegi</w:t>
      </w:r>
      <w:r w:rsidRPr="00995F1F">
        <w:rPr>
          <w:rFonts w:ascii="Century Gothic" w:hAnsi="Century Gothic"/>
          <w:sz w:val="24"/>
          <w:szCs w:val="24"/>
        </w:rPr>
        <w:t xml:space="preserve"> nel 2021 significa parlare d</w:t>
      </w:r>
      <w:r w:rsidR="00580449" w:rsidRPr="00995F1F">
        <w:rPr>
          <w:rFonts w:ascii="Century Gothic" w:hAnsi="Century Gothic"/>
          <w:sz w:val="24"/>
          <w:szCs w:val="24"/>
        </w:rPr>
        <w:t>’</w:t>
      </w:r>
      <w:r w:rsidRPr="00995F1F">
        <w:rPr>
          <w:rFonts w:ascii="Century Gothic" w:hAnsi="Century Gothic"/>
          <w:sz w:val="24"/>
          <w:szCs w:val="24"/>
        </w:rPr>
        <w:t xml:space="preserve">un tempo di profonda ed invisibile mutazione sociale, un tempo abitato da personaggi che non capiscono che quello che loro chiamano straordinario rappresenta la nuova normalità. </w:t>
      </w:r>
    </w:p>
    <w:p w14:paraId="12DE73C6" w14:textId="307E2AD9" w:rsidR="00FF77AE" w:rsidRPr="00995F1F" w:rsidRDefault="00532040" w:rsidP="00995F1F">
      <w:pPr>
        <w:jc w:val="both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sz w:val="24"/>
          <w:szCs w:val="24"/>
        </w:rPr>
        <w:t xml:space="preserve">Mettere in scena </w:t>
      </w:r>
      <w:r w:rsidRPr="00995F1F">
        <w:rPr>
          <w:rFonts w:ascii="Century Gothic" w:hAnsi="Century Gothic"/>
          <w:i/>
          <w:iCs/>
          <w:sz w:val="24"/>
          <w:szCs w:val="24"/>
        </w:rPr>
        <w:t>Il giardino dei ciliegi</w:t>
      </w:r>
      <w:r w:rsidRPr="00995F1F">
        <w:rPr>
          <w:rFonts w:ascii="Century Gothic" w:hAnsi="Century Gothic"/>
          <w:sz w:val="24"/>
          <w:szCs w:val="24"/>
        </w:rPr>
        <w:t xml:space="preserve"> significa parlare di uomini e donne convinti di vivere qualcosa di unico che non è mai stato vissuto prima. Significa parlare d</w:t>
      </w:r>
      <w:r w:rsidR="00580449" w:rsidRPr="00995F1F">
        <w:rPr>
          <w:rFonts w:ascii="Century Gothic" w:hAnsi="Century Gothic"/>
          <w:sz w:val="24"/>
          <w:szCs w:val="24"/>
        </w:rPr>
        <w:t>’</w:t>
      </w:r>
      <w:r w:rsidRPr="00995F1F">
        <w:rPr>
          <w:rFonts w:ascii="Century Gothic" w:hAnsi="Century Gothic"/>
          <w:sz w:val="24"/>
          <w:szCs w:val="24"/>
        </w:rPr>
        <w:t>uno straordinario momento storico, che parla dei dolori e delle speranze d</w:t>
      </w:r>
      <w:r w:rsidR="00580449" w:rsidRPr="00995F1F">
        <w:rPr>
          <w:rFonts w:ascii="Century Gothic" w:hAnsi="Century Gothic"/>
          <w:sz w:val="24"/>
          <w:szCs w:val="24"/>
        </w:rPr>
        <w:t>’</w:t>
      </w:r>
      <w:r w:rsidRPr="00995F1F">
        <w:rPr>
          <w:rFonts w:ascii="Century Gothic" w:hAnsi="Century Gothic"/>
          <w:sz w:val="24"/>
          <w:szCs w:val="24"/>
        </w:rPr>
        <w:t>un nuovo mondo che nessuno ha ancora pienamente studiato</w:t>
      </w:r>
      <w:r w:rsidR="00F05BEA" w:rsidRPr="00995F1F">
        <w:rPr>
          <w:rFonts w:ascii="Century Gothic" w:hAnsi="Century Gothic"/>
          <w:sz w:val="24"/>
          <w:szCs w:val="24"/>
        </w:rPr>
        <w:t>”</w:t>
      </w:r>
      <w:r w:rsidRPr="00995F1F">
        <w:rPr>
          <w:rFonts w:ascii="Century Gothic" w:hAnsi="Century Gothic"/>
          <w:sz w:val="24"/>
          <w:szCs w:val="24"/>
        </w:rPr>
        <w:t>.</w:t>
      </w:r>
      <w:r w:rsidR="00FF77AE" w:rsidRPr="00995F1F">
        <w:rPr>
          <w:rFonts w:ascii="Century Gothic" w:hAnsi="Century Gothic"/>
          <w:sz w:val="24"/>
          <w:szCs w:val="24"/>
        </w:rPr>
        <w:t xml:space="preserve"> </w:t>
      </w:r>
    </w:p>
    <w:p w14:paraId="55411D0C" w14:textId="7BBD288C" w:rsidR="004938E9" w:rsidRPr="00995F1F" w:rsidRDefault="00FC5D39" w:rsidP="00995F1F">
      <w:pPr>
        <w:jc w:val="right"/>
        <w:rPr>
          <w:rFonts w:ascii="Century Gothic" w:hAnsi="Century Gothic" w:cs="Arial"/>
          <w:sz w:val="24"/>
          <w:szCs w:val="24"/>
        </w:rPr>
      </w:pPr>
      <w:r w:rsidRPr="00995F1F">
        <w:rPr>
          <w:rFonts w:ascii="Century Gothic" w:hAnsi="Century Gothic" w:cs="Arial"/>
          <w:sz w:val="24"/>
          <w:szCs w:val="24"/>
        </w:rPr>
        <w:t>Tiago Rodrigues</w:t>
      </w:r>
    </w:p>
    <w:p w14:paraId="22C96D2F" w14:textId="246E7453" w:rsidR="0010592F" w:rsidRPr="00995F1F" w:rsidRDefault="0010592F" w:rsidP="00995F1F">
      <w:pPr>
        <w:jc w:val="right"/>
        <w:rPr>
          <w:rFonts w:ascii="Century Gothic" w:hAnsi="Century Gothic"/>
          <w:sz w:val="24"/>
          <w:szCs w:val="24"/>
        </w:rPr>
      </w:pPr>
    </w:p>
    <w:p w14:paraId="657F6789" w14:textId="55B4E4A9" w:rsidR="0010592F" w:rsidRPr="00995F1F" w:rsidRDefault="0010592F" w:rsidP="00995F1F">
      <w:pPr>
        <w:jc w:val="both"/>
        <w:rPr>
          <w:rFonts w:ascii="Century Gothic" w:hAnsi="Century Gothic"/>
          <w:sz w:val="24"/>
          <w:szCs w:val="24"/>
        </w:rPr>
      </w:pPr>
      <w:r w:rsidRPr="00995F1F">
        <w:rPr>
          <w:rFonts w:ascii="Century Gothic" w:hAnsi="Century Gothic"/>
          <w:sz w:val="24"/>
          <w:szCs w:val="24"/>
        </w:rPr>
        <w:t>Durata</w:t>
      </w:r>
      <w:r w:rsidR="00995F1F">
        <w:rPr>
          <w:rFonts w:ascii="Century Gothic" w:hAnsi="Century Gothic"/>
          <w:sz w:val="24"/>
          <w:szCs w:val="24"/>
        </w:rPr>
        <w:t xml:space="preserve"> dello spettacolo</w:t>
      </w:r>
      <w:r w:rsidRPr="00995F1F">
        <w:rPr>
          <w:rFonts w:ascii="Century Gothic" w:hAnsi="Century Gothic"/>
          <w:sz w:val="24"/>
          <w:szCs w:val="24"/>
        </w:rPr>
        <w:t>: 2h e 30’</w:t>
      </w:r>
    </w:p>
    <w:sectPr w:rsidR="0010592F" w:rsidRPr="00995F1F" w:rsidSect="00CB5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3"/>
    <w:rsid w:val="0004152D"/>
    <w:rsid w:val="00057E06"/>
    <w:rsid w:val="000821D4"/>
    <w:rsid w:val="0010592F"/>
    <w:rsid w:val="00167510"/>
    <w:rsid w:val="001B036E"/>
    <w:rsid w:val="001B0B4B"/>
    <w:rsid w:val="001C61C4"/>
    <w:rsid w:val="001E4282"/>
    <w:rsid w:val="0022497A"/>
    <w:rsid w:val="00226316"/>
    <w:rsid w:val="00274A00"/>
    <w:rsid w:val="002D0BD5"/>
    <w:rsid w:val="003B3EBF"/>
    <w:rsid w:val="0044057B"/>
    <w:rsid w:val="004938E9"/>
    <w:rsid w:val="00512954"/>
    <w:rsid w:val="005304D6"/>
    <w:rsid w:val="00532040"/>
    <w:rsid w:val="005556C8"/>
    <w:rsid w:val="00564AE0"/>
    <w:rsid w:val="00580449"/>
    <w:rsid w:val="00592C51"/>
    <w:rsid w:val="005B1324"/>
    <w:rsid w:val="005F7BC1"/>
    <w:rsid w:val="006B4530"/>
    <w:rsid w:val="006F4EBC"/>
    <w:rsid w:val="00724AA6"/>
    <w:rsid w:val="007345B7"/>
    <w:rsid w:val="007738BE"/>
    <w:rsid w:val="007747EE"/>
    <w:rsid w:val="00776500"/>
    <w:rsid w:val="007B775F"/>
    <w:rsid w:val="007F505F"/>
    <w:rsid w:val="00824498"/>
    <w:rsid w:val="008508C2"/>
    <w:rsid w:val="008B14E0"/>
    <w:rsid w:val="008F5C80"/>
    <w:rsid w:val="00995F1F"/>
    <w:rsid w:val="00A2786E"/>
    <w:rsid w:val="00AA1C7C"/>
    <w:rsid w:val="00B050DE"/>
    <w:rsid w:val="00B51F4B"/>
    <w:rsid w:val="00B76779"/>
    <w:rsid w:val="00BA40E3"/>
    <w:rsid w:val="00BB10B7"/>
    <w:rsid w:val="00CB5A83"/>
    <w:rsid w:val="00CF68D6"/>
    <w:rsid w:val="00D5736B"/>
    <w:rsid w:val="00EF5CAA"/>
    <w:rsid w:val="00F04DEB"/>
    <w:rsid w:val="00F05BEA"/>
    <w:rsid w:val="00F20EB0"/>
    <w:rsid w:val="00F40812"/>
    <w:rsid w:val="00F95666"/>
    <w:rsid w:val="00FC5D39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EEC2"/>
  <w15:chartTrackingRefBased/>
  <w15:docId w15:val="{DD3C9C1F-2837-4A41-83CA-96C98CD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5A8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1D4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D0BD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938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38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38E9"/>
    <w:rPr>
      <w:rFonts w:ascii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8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 Marra</cp:lastModifiedBy>
  <cp:revision>3</cp:revision>
  <dcterms:created xsi:type="dcterms:W3CDTF">2021-06-10T10:33:00Z</dcterms:created>
  <dcterms:modified xsi:type="dcterms:W3CDTF">2021-06-10T10:33:00Z</dcterms:modified>
</cp:coreProperties>
</file>